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pacing w:val="0"/>
          <w:kern w:val="0"/>
          <w:sz w:val="44"/>
          <w:szCs w:val="44"/>
          <w:lang w:val="en-US" w:eastAsia="zh-CN"/>
        </w:rPr>
        <w:t>三穗县实施的贵州省地方性法规、省级政府规章设定</w:t>
      </w:r>
    </w:p>
    <w:p>
      <w:pPr>
        <w:keepNext w:val="0"/>
        <w:keepLines w:val="0"/>
        <w:pageBreakBefore w:val="0"/>
        <w:widowControl w:val="0"/>
        <w:tabs>
          <w:tab w:val="left" w:pos="14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pacing w:val="0"/>
          <w:kern w:val="0"/>
          <w:sz w:val="44"/>
          <w:szCs w:val="44"/>
          <w:lang w:val="en-US" w:eastAsia="zh-CN"/>
        </w:rPr>
        <w:t>行政许可事项清单（2022年版）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733"/>
        <w:gridCol w:w="3243"/>
        <w:gridCol w:w="3810"/>
        <w:gridCol w:w="3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tblHeader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设定和实施依据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建立省级森林公园及其合并、变更隶属关系、变更地域范围的审批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《贵州省森林公园管理条例》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县林业局初审，州林业局复审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大树以及城市规划区以外的古树、名木（含古茶树）移植审批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《贵州省森林条例》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《贵州省古树名木大树保护条例》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《贵州省古茶树保护条例》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人防工程易地建设审批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《贵州省人民防空条例》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县政府办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人民防空警报设施拆除审批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《贵州省人民防空条例》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县政府办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单独修建的人民防空工程报建审批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《贵州省人民防空条例》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县政府办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城市地下交通干线及其他地下工程兼顾人民需要审查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《贵州省人民防空条例》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县政府办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小型牲畜定点屠宰点设置审查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《贵州省牲畜屠宰条例》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县人民政府（由农业农村局承办）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城市公共交通经营许可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《贵州省城市公共交通条例》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县人民政府（由县交通运输局承办）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8" w:right="2098" w:bottom="1474" w:left="1985" w:header="567" w:footer="1418" w:gutter="0"/>
          <w:pgNumType w:fmt="numberInDash"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jRlNjM0MDZhYzRmZjU2MjFjMTk2Njc0MDZkY2EifQ=="/>
  </w:docVars>
  <w:rsids>
    <w:rsidRoot w:val="03F80A30"/>
    <w:rsid w:val="03F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2022-12-06T08:12:00Z</dcterms:created>
  <dc:creator>Administrator</dc:creator>
  <cp:lastModifiedBy>Administrator</cp:lastModifiedBy>
  <dcterms:modified xsi:type="dcterms:W3CDTF">2022-12-06T08:13:28Z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C6B671A19F06459C874DED379090BEE9</vt:lpwstr>
  </property>
</Properties>
</file>